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DHI-NVR4216-4KS2/L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375mm × 275mm × 52mm (W × L × H)
14.76 inch × 10.83 inch × 2.05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1.51kg (3.33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DC12V, 4A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+55℃ (+14°F to +131°F)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2.76kg (6.08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141mm × 433mm × 366mm (W × L × H)
5.55 inch × 17.05 inch × 14.41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1 front USB 2.0 port, 1 rear USB 2.0 port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10/100/1000Mbps (1 gigabit Ethernet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2ch@8MP@30fps/4ch@4MP@30fps/8ch@1080P@30fps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160 Mbps incoming, 160 Mbps recording and 64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16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