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IEC 62368-1:2014</w:t>
              <w:br/>
            </w:r>
            <w:r>
              <w:t>CE-EMC: EN IEC 61000-3-2:2019, EN 61000-3-3:2013+A1:2019, EN 55032:2015+A11:2020, EN 55035:2017+A11:2020, EN 55024:2010+A1:2015, EN 50130-4:2011+A1:2014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DHI-NVR2104-4KS3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60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1080p;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1-channel 12 MP@30 fps; 1-channel 8 MP@30 fps; 2-channel 5 MP@30 fps; 3-channel 4 MP@30 fps; 6-channel 1080p@30 fps 
AI enabled: 1-channel 8 MP@30 fps; 1-channel 5 MP@30 fps; 2-channel 4 MP@30 fps; 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1/4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G726;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IPv6; UDP; NTP; DHCP; DNS; SMTP; IP Filter; DDNS; IP Search (Supports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4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playback; general playback; event playback; tag playback;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camera external alarm;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Error (no disk, disk error, low space, low quota space; network disconnection; IP conflict; MAC conflict); video loss; video tampering;  camera offline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NA (2 channels are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NA (1-channel 12 V 1 A output is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port.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0.45 kg (0.99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1.05 kg (2.31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45.6 mm(8.06" × 8.12" × 1.80")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364.0 mm × 96.0 mm × 261.0 mm(14.33" × 3.78" × 10.28")(W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